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2018年政法转移支付资金办案（业务）经费项目</w:t>
      </w:r>
    </w:p>
    <w:p>
      <w:pPr>
        <w:pStyle w:val="48"/>
        <w:spacing w:line="700" w:lineRule="exact"/>
        <w:ind w:firstLine="720" w:firstLineChars="200"/>
        <w:jc w:val="left"/>
        <w:rPr>
          <w:rFonts w:hint="eastAsia" w:eastAsia="仿宋_GB2312"/>
          <w:kern w:val="0"/>
          <w:sz w:val="36"/>
          <w:szCs w:val="36"/>
          <w:lang w:val="en-US" w:eastAsia="zh-CN"/>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塔什库尔干县公安局</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塔什库尔干县人民政府</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宝力代</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10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hint="eastAsia" w:ascii="黑体" w:hAnsi="黑体" w:eastAsia="黑体"/>
          <w:b w:val="0"/>
          <w:spacing w:val="-4"/>
          <w:sz w:val="32"/>
          <w:szCs w:val="32"/>
        </w:rPr>
      </w:pPr>
    </w:p>
    <w:p>
      <w:pPr>
        <w:pStyle w:val="48"/>
        <w:tabs>
          <w:tab w:val="left" w:pos="5343"/>
        </w:tabs>
        <w:spacing w:line="700" w:lineRule="exact"/>
        <w:ind w:firstLine="624" w:firstLineChars="200"/>
        <w:jc w:val="left"/>
        <w:rPr>
          <w:rStyle w:val="18"/>
          <w:rFonts w:hint="eastAsia" w:ascii="黑体" w:hAnsi="黑体" w:eastAsia="黑体"/>
          <w:b w:val="0"/>
          <w:spacing w:val="-4"/>
          <w:sz w:val="32"/>
          <w:szCs w:val="32"/>
          <w:lang w:eastAsia="zh-CN"/>
        </w:rPr>
      </w:pPr>
      <w:r>
        <w:rPr>
          <w:rStyle w:val="18"/>
          <w:rFonts w:hint="eastAsia" w:ascii="黑体" w:hAnsi="黑体" w:eastAsia="黑体"/>
          <w:b w:val="0"/>
          <w:spacing w:val="-4"/>
          <w:sz w:val="32"/>
          <w:szCs w:val="32"/>
          <w:lang w:eastAsia="zh-CN"/>
        </w:rPr>
        <w:tab/>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hint="eastAsia"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县公安局基本情况，包括：县公安局主要职能和机构设置情况、年末编制情况、实有人数情况等。</w:t>
      </w:r>
    </w:p>
    <w:p>
      <w:pPr>
        <w:adjustRightInd w:val="0"/>
        <w:snapToGrid w:val="0"/>
        <w:spacing w:line="560" w:lineRule="exact"/>
        <w:ind w:firstLine="624" w:firstLineChars="200"/>
        <w:rPr>
          <w:rStyle w:val="18"/>
          <w:rFonts w:hint="eastAsia"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1、主要职能</w:t>
      </w:r>
    </w:p>
    <w:p>
      <w:pPr>
        <w:adjustRightInd w:val="0"/>
        <w:snapToGrid w:val="0"/>
        <w:spacing w:line="560" w:lineRule="exact"/>
        <w:ind w:firstLine="624" w:firstLineChars="200"/>
        <w:rPr>
          <w:rStyle w:val="18"/>
          <w:rFonts w:hint="eastAsia"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塔什库尔干塔吉克自治县公安局是主管全县公安工作的政府工作部门，是不同于一般行政机关的具有武装性质的国家治安行政管理和刑事执法部门。主要有以下职责：预防、制止和侦查违法犯罪活动;防范、打击恐怖活动;维护社会治安秩序，制止危害社会治安秩序的行为;管理交通、消防、危险物品;管理户口、居民身份证、国籍、出入境事务和外国人在中国境内居留、旅行的有关事务;维护国(边)境地区的治安秩序;警卫国家规定的特定人员、守卫重要场所和设施;管理集会、游行和示威活动;监督管理公共信息网络安全监察工作;负责承担被判处拘役、有期徒刑、缓刑、管制、剥夺政治权利和被假释犯的监督考察任务；法律、法规规定的其他职责。</w:t>
      </w:r>
    </w:p>
    <w:p>
      <w:pPr>
        <w:adjustRightInd w:val="0"/>
        <w:snapToGrid w:val="0"/>
        <w:spacing w:line="560" w:lineRule="exact"/>
        <w:ind w:firstLine="624" w:firstLineChars="200"/>
        <w:rPr>
          <w:rStyle w:val="18"/>
          <w:rFonts w:hint="eastAsia"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2、机构情况及人员情况</w:t>
      </w:r>
    </w:p>
    <w:p>
      <w:pPr>
        <w:adjustRightInd w:val="0"/>
        <w:snapToGrid w:val="0"/>
        <w:spacing w:line="560" w:lineRule="exact"/>
        <w:ind w:firstLine="624" w:firstLineChars="200"/>
        <w:rPr>
          <w:rStyle w:val="18"/>
          <w:rFonts w:hint="eastAsia"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塔什库尔干塔吉克自治县公安局为正科级单位，具体机构设置：内设综合管理机构3个，执法勤务机构11个，派出机构5个，监管场所2个。</w:t>
      </w:r>
    </w:p>
    <w:p>
      <w:pPr>
        <w:adjustRightInd w:val="0"/>
        <w:snapToGrid w:val="0"/>
        <w:spacing w:line="560" w:lineRule="exact"/>
        <w:ind w:firstLine="624" w:firstLineChars="200"/>
        <w:rPr>
          <w:rStyle w:val="18"/>
          <w:rFonts w:hint="eastAsia"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总编制数112名，其中行政编制85名，工勤编制2名，事业编制25名。2018年实有在职人数行政编制96人，事业编制22人。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预期目标及阶段性目标：办案（业务）经费是政法机关日常执法支出的重要内容，对确保有效履行职责、促进经济社会</w:t>
      </w:r>
      <w:r>
        <w:rPr>
          <w:rFonts w:hint="eastAsia" w:ascii="仿宋" w:hAnsi="仿宋" w:eastAsia="仿宋"/>
          <w:bCs/>
          <w:color w:val="000000" w:themeColor="text1"/>
          <w:spacing w:val="-4"/>
          <w:sz w:val="32"/>
          <w:szCs w:val="32"/>
          <w:lang w:val="en-US" w:eastAsia="zh-CN"/>
        </w:rPr>
        <w:t>和谐</w:t>
      </w:r>
      <w:r>
        <w:rPr>
          <w:rFonts w:hint="eastAsia" w:ascii="仿宋" w:hAnsi="仿宋" w:eastAsia="仿宋"/>
          <w:bCs/>
          <w:color w:val="000000" w:themeColor="text1"/>
          <w:spacing w:val="-4"/>
          <w:sz w:val="32"/>
          <w:szCs w:val="32"/>
        </w:rPr>
        <w:t>起着十分重要的作用。本年下拨政法转移支付资金办案（业务）经费344万元。</w:t>
      </w:r>
    </w:p>
    <w:p>
      <w:pPr>
        <w:adjustRightInd w:val="0"/>
        <w:snapToGrid w:val="0"/>
        <w:spacing w:line="560" w:lineRule="exact"/>
        <w:ind w:firstLine="624" w:firstLineChars="20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项目基本性质、用途和主要内容、涉及范围：上级补助办案（业务）经费是各级党委、政府将财政资金对公安机关的再分配，对经济落后地区公安机关实行补助的措施，是加强公安队伍正规化建设，提升公安队伍战斗力，确保圆满完成各项公安保卫任务的重要物质基础。主要用于公安机关履行特定职责任务发生的办案（业务）相关支出，包括办案费和业务费。如</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rPr>
        <w:t>办案差旅费、情报费、专用材料费、租赁费、维修（护）费、培训费、委托业务费、车辆维护费、奖励费等。</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本项目性质为</w:t>
      </w:r>
      <w:r>
        <w:rPr>
          <w:rFonts w:hint="eastAsia" w:ascii="仿宋" w:hAnsi="仿宋" w:eastAsia="仿宋"/>
          <w:bCs/>
          <w:color w:val="000000" w:themeColor="text1"/>
          <w:spacing w:val="-4"/>
          <w:sz w:val="32"/>
          <w:szCs w:val="32"/>
          <w:lang w:val="en-US" w:eastAsia="zh-CN"/>
        </w:rPr>
        <w:t>延续项目</w:t>
      </w:r>
      <w:r>
        <w:rPr>
          <w:rFonts w:hint="eastAsia" w:ascii="仿宋" w:hAnsi="仿宋" w:eastAsia="仿宋"/>
          <w:bCs/>
          <w:color w:val="000000" w:themeColor="text1"/>
          <w:spacing w:val="-4"/>
          <w:sz w:val="32"/>
          <w:szCs w:val="32"/>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outlineLvl w:val="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项目用途和主要内容、涉及范围：上级补助办案（业务）经费是各级党委、政府将财政资金对公安机关的再分配，对经济落后地区公安机关实行补助的措施，是加强公安队伍正规化建设，提升公安队伍战斗力，确保圆满完成各项公安保卫任务的重要物质基础。主要用于公安机关履行特定职责任务发生的办案（业务）相关支出，包括办案费和业务费。如：办案差旅费、情报费、专用材料费、租赁费、维修（护）费、培训费、委托业务费、车辆维护费、奖励费等。</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outlineLvl w:val="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2018年中央拨付公安机关办案（业务）经费项目预算安排总额为</w:t>
      </w:r>
      <w:r>
        <w:rPr>
          <w:rFonts w:hint="eastAsia" w:ascii="仿宋" w:hAnsi="仿宋" w:eastAsia="仿宋"/>
          <w:bCs/>
          <w:color w:val="000000" w:themeColor="text1"/>
          <w:spacing w:val="-4"/>
          <w:sz w:val="32"/>
          <w:szCs w:val="32"/>
          <w:lang w:val="en-US" w:eastAsia="zh-CN"/>
        </w:rPr>
        <w:t>344</w:t>
      </w:r>
      <w:r>
        <w:rPr>
          <w:rFonts w:hint="eastAsia" w:ascii="仿宋" w:hAnsi="仿宋" w:eastAsia="仿宋"/>
          <w:bCs/>
          <w:color w:val="000000" w:themeColor="text1"/>
          <w:spacing w:val="-4"/>
          <w:sz w:val="32"/>
          <w:szCs w:val="32"/>
        </w:rPr>
        <w:t>万元，其中财政资金</w:t>
      </w:r>
      <w:r>
        <w:rPr>
          <w:rFonts w:hint="eastAsia" w:ascii="仿宋" w:hAnsi="仿宋" w:eastAsia="仿宋"/>
          <w:bCs/>
          <w:color w:val="000000" w:themeColor="text1"/>
          <w:spacing w:val="-4"/>
          <w:sz w:val="32"/>
          <w:szCs w:val="32"/>
          <w:lang w:val="en-US" w:eastAsia="zh-CN"/>
        </w:rPr>
        <w:t>344</w:t>
      </w:r>
      <w:r>
        <w:rPr>
          <w:rFonts w:hint="eastAsia" w:ascii="仿宋" w:hAnsi="仿宋" w:eastAsia="仿宋"/>
          <w:bCs/>
          <w:color w:val="000000" w:themeColor="text1"/>
          <w:spacing w:val="-4"/>
          <w:sz w:val="32"/>
          <w:szCs w:val="32"/>
        </w:rPr>
        <w:t>万元，2018年实际收到预算资金</w:t>
      </w:r>
      <w:r>
        <w:rPr>
          <w:rFonts w:hint="eastAsia" w:ascii="仿宋" w:hAnsi="仿宋" w:eastAsia="仿宋"/>
          <w:bCs/>
          <w:color w:val="000000" w:themeColor="text1"/>
          <w:spacing w:val="-4"/>
          <w:sz w:val="32"/>
          <w:szCs w:val="32"/>
          <w:lang w:val="en-US" w:eastAsia="zh-CN"/>
        </w:rPr>
        <w:t>344</w:t>
      </w:r>
      <w:r>
        <w:rPr>
          <w:rFonts w:hint="eastAsia" w:ascii="仿宋" w:hAnsi="仿宋" w:eastAsia="仿宋"/>
          <w:bCs/>
          <w:color w:val="000000" w:themeColor="text1"/>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default" w:ascii="仿宋" w:hAnsi="仿宋" w:eastAsia="仿宋"/>
          <w:bCs/>
          <w:color w:val="000000" w:themeColor="text1"/>
          <w:spacing w:val="-4"/>
          <w:sz w:val="32"/>
          <w:szCs w:val="32"/>
          <w:lang w:val="en-US" w:eastAsia="zh-CN"/>
        </w:rPr>
      </w:pPr>
      <w:r>
        <w:rPr>
          <w:rFonts w:hint="eastAsia" w:ascii="仿宋" w:hAnsi="仿宋" w:eastAsia="仿宋"/>
          <w:bCs/>
          <w:color w:val="000000" w:themeColor="text1"/>
          <w:spacing w:val="-4"/>
          <w:sz w:val="32"/>
          <w:szCs w:val="32"/>
          <w:lang w:val="en-US" w:eastAsia="zh-CN"/>
        </w:rPr>
        <w:t>本项目实际支付资金344万元，预算执行率100%。项目资金主要用于支付办公费20.24万元、印刷费14.32万元、差旅费25.64万元、维修（护）费33.9万元、租赁费24.72万元、培训费34.87万元、劳务费13.46万元、车辆燃油费50.97万元、委托业务费10.39万元、电费44.97万元、邮电费18.38万元等办案业务费用支付。</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val="en-US" w:eastAsia="zh-CN"/>
        </w:rPr>
      </w:pPr>
      <w:r>
        <w:rPr>
          <w:rFonts w:hint="eastAsia" w:ascii="仿宋" w:hAnsi="仿宋" w:eastAsia="仿宋"/>
          <w:bCs/>
          <w:color w:val="000000" w:themeColor="text1"/>
          <w:spacing w:val="-4"/>
          <w:sz w:val="32"/>
          <w:szCs w:val="32"/>
          <w:lang w:val="en-US" w:eastAsia="zh-CN"/>
        </w:rPr>
        <w:t>本项目支出符合公安机关财务管理办法（喀地财行【2014】65号文件），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该项目属于</w:t>
      </w:r>
      <w:r>
        <w:rPr>
          <w:rStyle w:val="18"/>
          <w:rFonts w:hint="eastAsia" w:ascii="仿宋" w:hAnsi="仿宋" w:eastAsia="仿宋"/>
          <w:b w:val="0"/>
          <w:color w:val="000000" w:themeColor="text1"/>
          <w:spacing w:val="-4"/>
          <w:sz w:val="32"/>
          <w:szCs w:val="32"/>
          <w:lang w:val="en-US" w:eastAsia="zh-CN"/>
        </w:rPr>
        <w:t>专项业务经费</w:t>
      </w:r>
      <w:r>
        <w:rPr>
          <w:rStyle w:val="18"/>
          <w:rFonts w:hint="eastAsia" w:ascii="仿宋" w:hAnsi="仿宋" w:eastAsia="仿宋"/>
          <w:b w:val="0"/>
          <w:color w:val="000000" w:themeColor="text1"/>
          <w:spacing w:val="-4"/>
          <w:sz w:val="32"/>
          <w:szCs w:val="32"/>
        </w:rPr>
        <w:t>,没有达到招投标限额,由本单位自行组织实施。实施过程均按照本单位制定的管理制度执行。</w:t>
      </w:r>
    </w:p>
    <w:p>
      <w:pPr>
        <w:adjustRightInd w:val="0"/>
        <w:snapToGrid w:val="0"/>
        <w:spacing w:line="560" w:lineRule="exact"/>
        <w:ind w:firstLine="624" w:firstLineChars="200"/>
        <w:rPr>
          <w:rStyle w:val="18"/>
          <w:rFonts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本项目不存在检查验收程序。</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000000" w:themeColor="text1"/>
          <w:spacing w:val="-4"/>
          <w:sz w:val="32"/>
          <w:szCs w:val="32"/>
        </w:rPr>
      </w:pPr>
      <w:r>
        <w:rPr>
          <w:rFonts w:hint="eastAsia" w:ascii="仿宋" w:hAnsi="仿宋" w:eastAsia="仿宋"/>
          <w:bCs/>
          <w:color w:val="000000" w:themeColor="text1"/>
          <w:spacing w:val="-4"/>
          <w:sz w:val="32"/>
          <w:szCs w:val="32"/>
        </w:rPr>
        <w:t>项目实施过程中，</w:t>
      </w:r>
      <w:r>
        <w:rPr>
          <w:rFonts w:hint="eastAsia" w:ascii="仿宋" w:hAnsi="仿宋" w:eastAsia="仿宋"/>
          <w:bCs/>
          <w:color w:val="000000" w:themeColor="text1"/>
          <w:spacing w:val="-4"/>
          <w:sz w:val="32"/>
          <w:szCs w:val="32"/>
          <w:lang w:val="en-US" w:eastAsia="zh-CN"/>
        </w:rPr>
        <w:t>我单位制定</w:t>
      </w:r>
      <w:r>
        <w:rPr>
          <w:rFonts w:hint="eastAsia" w:ascii="仿宋" w:hAnsi="仿宋" w:eastAsia="仿宋"/>
          <w:bCs/>
          <w:color w:val="000000" w:themeColor="text1"/>
          <w:spacing w:val="-4"/>
          <w:sz w:val="32"/>
          <w:szCs w:val="32"/>
        </w:rPr>
        <w:t>了</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lang w:val="en-US" w:eastAsia="zh-CN"/>
        </w:rPr>
        <w:t>专项经费审批报告制度</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rPr>
        <w:t>保障项目的顺利实施。项目的实施遵守相关法律法规和业务管理规定，项目资料齐全并及时归档。2018年中央拨付公安机关办案（业务）经费从资金下达、拨付、使用，全部录入中央补助专项资金统计系统，支付每笔款项所有票据均上传，</w:t>
      </w:r>
      <w:r>
        <w:rPr>
          <w:rFonts w:hint="eastAsia" w:ascii="仿宋" w:hAnsi="仿宋" w:eastAsia="仿宋"/>
          <w:bCs/>
          <w:color w:val="000000" w:themeColor="text1"/>
          <w:spacing w:val="-4"/>
          <w:sz w:val="32"/>
          <w:szCs w:val="32"/>
          <w:lang w:val="en-US" w:eastAsia="zh-CN"/>
        </w:rPr>
        <w:t>上级公安机关</w:t>
      </w:r>
      <w:r>
        <w:rPr>
          <w:rFonts w:hint="eastAsia" w:ascii="仿宋" w:hAnsi="仿宋" w:eastAsia="仿宋"/>
          <w:bCs/>
          <w:color w:val="000000" w:themeColor="text1"/>
          <w:spacing w:val="-4"/>
          <w:sz w:val="32"/>
          <w:szCs w:val="32"/>
        </w:rPr>
        <w:t>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ascii="仿宋" w:hAnsi="仿宋" w:eastAsia="仿宋"/>
          <w:bCs/>
          <w:color w:val="000000" w:themeColor="text1"/>
          <w:spacing w:val="-4"/>
          <w:sz w:val="32"/>
          <w:szCs w:val="32"/>
        </w:rPr>
        <w:t>本项目共设置一级指标</w:t>
      </w:r>
      <w:r>
        <w:rPr>
          <w:rFonts w:hint="eastAsia" w:ascii="仿宋" w:hAnsi="仿宋" w:eastAsia="仿宋"/>
          <w:bCs/>
          <w:color w:val="000000" w:themeColor="text1"/>
          <w:spacing w:val="-4"/>
          <w:sz w:val="32"/>
          <w:szCs w:val="32"/>
          <w:lang w:val="en-US" w:eastAsia="zh-CN"/>
        </w:rPr>
        <w:t>3</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w:t>
      </w:r>
      <w:r>
        <w:rPr>
          <w:rFonts w:ascii="仿宋" w:hAnsi="仿宋" w:eastAsia="仿宋"/>
          <w:bCs/>
          <w:color w:val="000000" w:themeColor="text1"/>
          <w:spacing w:val="-4"/>
          <w:sz w:val="32"/>
          <w:szCs w:val="32"/>
        </w:rPr>
        <w:t>二级指标</w:t>
      </w:r>
      <w:r>
        <w:rPr>
          <w:rFonts w:hint="eastAsia" w:ascii="仿宋" w:hAnsi="仿宋" w:eastAsia="仿宋"/>
          <w:bCs/>
          <w:color w:val="000000" w:themeColor="text1"/>
          <w:spacing w:val="-4"/>
          <w:sz w:val="32"/>
          <w:szCs w:val="32"/>
          <w:lang w:val="en-US" w:eastAsia="zh-CN"/>
        </w:rPr>
        <w:t>9</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w:t>
      </w:r>
      <w:r>
        <w:rPr>
          <w:rFonts w:ascii="仿宋" w:hAnsi="仿宋" w:eastAsia="仿宋"/>
          <w:bCs/>
          <w:color w:val="000000" w:themeColor="text1"/>
          <w:spacing w:val="-4"/>
          <w:sz w:val="32"/>
          <w:szCs w:val="32"/>
        </w:rPr>
        <w:t>三级指标</w:t>
      </w:r>
      <w:r>
        <w:rPr>
          <w:rFonts w:hint="eastAsia" w:ascii="仿宋" w:hAnsi="仿宋" w:eastAsia="仿宋"/>
          <w:bCs/>
          <w:color w:val="000000" w:themeColor="text1"/>
          <w:spacing w:val="-4"/>
          <w:sz w:val="32"/>
          <w:szCs w:val="32"/>
          <w:lang w:val="en-US" w:eastAsia="zh-CN"/>
        </w:rPr>
        <w:t>23</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，其中</w:t>
      </w:r>
      <w:r>
        <w:rPr>
          <w:rFonts w:ascii="仿宋" w:hAnsi="仿宋" w:eastAsia="仿宋"/>
          <w:bCs/>
          <w:color w:val="000000" w:themeColor="text1"/>
          <w:spacing w:val="-4"/>
          <w:sz w:val="32"/>
          <w:szCs w:val="32"/>
        </w:rPr>
        <w:t>已完成三级指标</w:t>
      </w:r>
      <w:r>
        <w:rPr>
          <w:rFonts w:hint="eastAsia" w:ascii="仿宋" w:hAnsi="仿宋" w:eastAsia="仿宋"/>
          <w:bCs/>
          <w:color w:val="000000" w:themeColor="text1"/>
          <w:spacing w:val="-4"/>
          <w:sz w:val="32"/>
          <w:szCs w:val="32"/>
          <w:lang w:val="en-US" w:eastAsia="zh-CN"/>
        </w:rPr>
        <w:t>23</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，指标完成率为</w:t>
      </w:r>
      <w:r>
        <w:rPr>
          <w:rFonts w:hint="eastAsia" w:ascii="仿宋" w:hAnsi="仿宋" w:eastAsia="仿宋"/>
          <w:bCs/>
          <w:color w:val="000000" w:themeColor="text1"/>
          <w:spacing w:val="-4"/>
          <w:sz w:val="32"/>
          <w:szCs w:val="32"/>
          <w:lang w:val="en-US" w:eastAsia="zh-CN"/>
        </w:rPr>
        <w:t>100</w:t>
      </w:r>
      <w:r>
        <w:rPr>
          <w:rFonts w:hint="eastAsia" w:ascii="仿宋" w:hAnsi="仿宋" w:eastAsia="仿宋"/>
          <w:bCs/>
          <w:color w:val="000000" w:themeColor="text1"/>
          <w:spacing w:val="-4"/>
          <w:sz w:val="32"/>
          <w:szCs w:val="32"/>
        </w:rPr>
        <w:t>%。</w:t>
      </w:r>
    </w:p>
    <w:p>
      <w:pPr>
        <w:adjustRightInd w:val="0"/>
        <w:snapToGrid w:val="0"/>
        <w:spacing w:line="560" w:lineRule="exact"/>
        <w:ind w:firstLine="624" w:firstLineChars="200"/>
        <w:rPr>
          <w:rStyle w:val="18"/>
          <w:rFonts w:hint="eastAsia" w:ascii="仿宋" w:hAnsi="仿宋" w:eastAsia="仿宋"/>
          <w:b w:val="0"/>
          <w:color w:val="000000" w:themeColor="text1"/>
          <w:spacing w:val="-4"/>
          <w:sz w:val="32"/>
          <w:szCs w:val="32"/>
          <w:lang w:val="en-US" w:eastAsia="zh-CN"/>
        </w:rPr>
      </w:pPr>
      <w:r>
        <w:rPr>
          <w:rStyle w:val="18"/>
          <w:rFonts w:hint="eastAsia" w:ascii="仿宋" w:hAnsi="仿宋" w:eastAsia="仿宋"/>
          <w:b w:val="0"/>
          <w:color w:val="000000" w:themeColor="text1"/>
          <w:spacing w:val="-4"/>
          <w:sz w:val="32"/>
          <w:szCs w:val="32"/>
        </w:rPr>
        <w:t>效率性：</w:t>
      </w:r>
      <w:r>
        <w:rPr>
          <w:rStyle w:val="18"/>
          <w:rFonts w:hint="eastAsia" w:ascii="仿宋" w:hAnsi="仿宋" w:eastAsia="仿宋"/>
          <w:b w:val="0"/>
          <w:color w:val="000000" w:themeColor="text1"/>
          <w:spacing w:val="-4"/>
          <w:sz w:val="32"/>
          <w:szCs w:val="32"/>
          <w:lang w:val="en-US" w:eastAsia="zh-CN"/>
        </w:rPr>
        <w:t>资金使用完成率达到了100%，完成预期90%的目标。</w:t>
      </w:r>
    </w:p>
    <w:p>
      <w:pPr>
        <w:adjustRightInd w:val="0"/>
        <w:snapToGrid w:val="0"/>
        <w:spacing w:line="560" w:lineRule="exact"/>
        <w:ind w:firstLine="624" w:firstLineChars="200"/>
        <w:rPr>
          <w:rStyle w:val="18"/>
          <w:rFonts w:hint="eastAsia" w:ascii="仿宋" w:hAnsi="仿宋" w:eastAsia="仿宋"/>
          <w:b w:val="0"/>
          <w:bCs/>
          <w:color w:val="000000" w:themeColor="text1"/>
          <w:spacing w:val="-4"/>
          <w:sz w:val="32"/>
          <w:szCs w:val="32"/>
          <w:lang w:val="en-US" w:eastAsia="zh-CN"/>
        </w:rPr>
      </w:pPr>
      <w:r>
        <w:rPr>
          <w:rStyle w:val="18"/>
          <w:rFonts w:hint="eastAsia" w:ascii="仿宋" w:hAnsi="仿宋" w:eastAsia="仿宋"/>
          <w:b w:val="0"/>
          <w:color w:val="000000" w:themeColor="text1"/>
          <w:spacing w:val="-4"/>
          <w:sz w:val="32"/>
          <w:szCs w:val="32"/>
        </w:rPr>
        <w:t>效益性：</w:t>
      </w:r>
      <w:r>
        <w:rPr>
          <w:rStyle w:val="18"/>
          <w:rFonts w:hint="eastAsia" w:ascii="仿宋" w:hAnsi="仿宋" w:eastAsia="仿宋"/>
          <w:b w:val="0"/>
          <w:color w:val="000000" w:themeColor="text1"/>
          <w:spacing w:val="-4"/>
          <w:sz w:val="32"/>
          <w:szCs w:val="32"/>
          <w:lang w:val="en-US" w:eastAsia="zh-CN"/>
        </w:rPr>
        <w:t>实现了维护社会和谐和长治久安总目标，实现了“三个决不允许、三个确保、三不出”。赢得了广大人民群众的赞誉，群众满意度达到95%，比预期90%上升了5%。</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不存在未完成情况</w:t>
      </w:r>
      <w:r>
        <w:rPr>
          <w:rFonts w:ascii="仿宋" w:hAnsi="仿宋" w:eastAsia="仿宋"/>
          <w:color w:val="000000" w:themeColor="text1"/>
          <w:spacing w:val="-4"/>
          <w:sz w:val="32"/>
          <w:szCs w:val="32"/>
        </w:rPr>
        <w:t>:</w:t>
      </w:r>
      <w:r>
        <w:rPr>
          <w:rFonts w:hint="eastAsia" w:ascii="仿宋" w:hAnsi="仿宋" w:eastAsia="仿宋"/>
          <w:color w:val="000000" w:themeColor="text1"/>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hint="eastAsia"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000000" w:themeColor="text1"/>
          <w:spacing w:val="-4"/>
          <w:sz w:val="32"/>
          <w:szCs w:val="32"/>
          <w:lang w:val="en-US" w:eastAsia="zh-CN"/>
        </w:rPr>
      </w:pPr>
      <w:r>
        <w:rPr>
          <w:rFonts w:hint="eastAsia" w:ascii="仿宋" w:hAnsi="仿宋" w:eastAsia="仿宋"/>
          <w:bCs/>
          <w:color w:val="000000" w:themeColor="text1"/>
          <w:spacing w:val="-4"/>
          <w:sz w:val="32"/>
          <w:szCs w:val="32"/>
          <w:lang w:val="en-US" w:eastAsia="zh-CN"/>
        </w:rPr>
        <w:t>下年度我单位将严格项目资金使用范围，提高资金使用效益。</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outlineLvl w:val="0"/>
        <w:rPr>
          <w:rFonts w:hint="eastAsia" w:ascii="仿宋" w:hAnsi="仿宋" w:eastAsia="仿宋"/>
          <w:bCs/>
          <w:color w:val="000000" w:themeColor="text1"/>
          <w:spacing w:val="-4"/>
          <w:sz w:val="32"/>
          <w:szCs w:val="32"/>
          <w:lang w:val="en-US" w:eastAsia="zh-CN"/>
        </w:rPr>
      </w:pPr>
      <w:r>
        <w:rPr>
          <w:rFonts w:hint="eastAsia" w:ascii="仿宋" w:hAnsi="仿宋" w:eastAsia="仿宋"/>
          <w:bCs/>
          <w:color w:val="000000" w:themeColor="text1"/>
          <w:spacing w:val="-4"/>
          <w:sz w:val="32"/>
          <w:szCs w:val="32"/>
          <w:lang w:val="en-US" w:eastAsia="zh-CN"/>
        </w:rPr>
        <w:t>1、主要经验及做法</w:t>
      </w:r>
    </w:p>
    <w:p>
      <w:pPr>
        <w:adjustRightInd w:val="0"/>
        <w:snapToGrid w:val="0"/>
        <w:spacing w:line="560" w:lineRule="exact"/>
        <w:ind w:firstLine="624" w:firstLineChars="200"/>
        <w:outlineLvl w:val="0"/>
        <w:rPr>
          <w:rFonts w:hint="eastAsia" w:ascii="仿宋" w:hAnsi="仿宋" w:eastAsia="仿宋"/>
          <w:bCs/>
          <w:color w:val="000000" w:themeColor="text1"/>
          <w:spacing w:val="-4"/>
          <w:sz w:val="32"/>
          <w:szCs w:val="32"/>
          <w:lang w:val="en-US" w:eastAsia="zh-CN"/>
        </w:rPr>
      </w:pPr>
      <w:r>
        <w:rPr>
          <w:rFonts w:hint="eastAsia" w:ascii="仿宋" w:hAnsi="仿宋" w:eastAsia="仿宋"/>
          <w:bCs/>
          <w:color w:val="000000" w:themeColor="text1"/>
          <w:spacing w:val="-4"/>
          <w:sz w:val="32"/>
          <w:szCs w:val="32"/>
          <w:lang w:val="en-US" w:eastAsia="zh-CN"/>
        </w:rPr>
        <w:t>（1）优先保障“实战”，推进核心战斗力提升。紧紧围绕“服务中心、服务大局、服务一线”要求，将资金最大限度投放到基层，服务于实战。</w:t>
      </w:r>
    </w:p>
    <w:p>
      <w:pPr>
        <w:adjustRightInd w:val="0"/>
        <w:snapToGrid w:val="0"/>
        <w:spacing w:line="560" w:lineRule="exact"/>
        <w:ind w:firstLine="624" w:firstLineChars="200"/>
        <w:outlineLvl w:val="0"/>
        <w:rPr>
          <w:rFonts w:hint="eastAsia" w:ascii="仿宋" w:hAnsi="仿宋" w:eastAsia="仿宋"/>
          <w:bCs/>
          <w:color w:val="000000" w:themeColor="text1"/>
          <w:spacing w:val="-4"/>
          <w:sz w:val="32"/>
          <w:szCs w:val="32"/>
          <w:lang w:val="en-US" w:eastAsia="zh-CN"/>
        </w:rPr>
      </w:pPr>
      <w:r>
        <w:rPr>
          <w:rFonts w:hint="eastAsia" w:ascii="仿宋" w:hAnsi="仿宋" w:eastAsia="仿宋"/>
          <w:bCs/>
          <w:color w:val="000000" w:themeColor="text1"/>
          <w:spacing w:val="-4"/>
          <w:sz w:val="32"/>
          <w:szCs w:val="32"/>
          <w:lang w:val="en-US" w:eastAsia="zh-CN"/>
        </w:rPr>
        <w:t>（2）优先保障“项目”，推进基础工作全面提升。对大型网络建设项目，根据公安各警种的工作需求，合理整合业务，统筹安排资金，构建完整的信息运用平台系统，达到“资源共享，集中财力办大事”；</w:t>
      </w:r>
    </w:p>
    <w:p>
      <w:pPr>
        <w:adjustRightInd w:val="0"/>
        <w:snapToGrid w:val="0"/>
        <w:spacing w:line="560" w:lineRule="exact"/>
        <w:ind w:firstLine="624" w:firstLineChars="200"/>
        <w:rPr>
          <w:rFonts w:hint="default" w:ascii="仿宋" w:hAnsi="仿宋" w:eastAsia="仿宋"/>
          <w:color w:val="000000" w:themeColor="text1"/>
          <w:spacing w:val="-4"/>
          <w:sz w:val="32"/>
          <w:szCs w:val="32"/>
          <w:lang w:val="en-US" w:eastAsia="zh-CN"/>
        </w:rPr>
      </w:pPr>
      <w:r>
        <w:rPr>
          <w:rFonts w:hint="eastAsia" w:ascii="仿宋" w:hAnsi="仿宋" w:eastAsia="仿宋"/>
          <w:color w:val="000000" w:themeColor="text1"/>
          <w:spacing w:val="-4"/>
          <w:sz w:val="32"/>
          <w:szCs w:val="32"/>
          <w:lang w:val="en-US" w:eastAsia="zh-CN"/>
        </w:rPr>
        <w:t>（3）优先保障“一线”，推进执法质量全面提升。通过对办案成本测算的方式，了解基层办案的工作量和工作成本，科学核定基层公安机关的办案成本和装备成本，实行公用经费“全口径”保障，弥补基层经费不足的问题，促进执法质量提升。</w:t>
      </w:r>
    </w:p>
    <w:p>
      <w:pPr>
        <w:adjustRightInd w:val="0"/>
        <w:snapToGrid w:val="0"/>
        <w:spacing w:line="560" w:lineRule="exact"/>
        <w:ind w:firstLine="624" w:firstLineChars="200"/>
        <w:rPr>
          <w:rFonts w:hint="eastAsia"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2、存在的问题</w:t>
      </w:r>
    </w:p>
    <w:p>
      <w:pPr>
        <w:adjustRightInd w:val="0"/>
        <w:snapToGrid w:val="0"/>
        <w:spacing w:line="560" w:lineRule="exact"/>
        <w:ind w:firstLine="624" w:firstLineChars="200"/>
        <w:rPr>
          <w:rFonts w:hint="default" w:ascii="仿宋" w:hAnsi="仿宋" w:eastAsia="仿宋"/>
          <w:color w:val="000000" w:themeColor="text1"/>
          <w:spacing w:val="-4"/>
          <w:sz w:val="32"/>
          <w:szCs w:val="32"/>
          <w:lang w:val="en-US" w:eastAsia="zh-CN"/>
        </w:rPr>
      </w:pPr>
      <w:r>
        <w:rPr>
          <w:rFonts w:hint="eastAsia" w:ascii="仿宋" w:hAnsi="仿宋" w:eastAsia="仿宋"/>
          <w:color w:val="000000" w:themeColor="text1"/>
          <w:spacing w:val="-4"/>
          <w:sz w:val="32"/>
          <w:szCs w:val="32"/>
          <w:lang w:val="en-US" w:eastAsia="zh-CN"/>
        </w:rPr>
        <w:t>办案（业务）经费紧张，专项经费列支范围有限，对于公安日常公用经费支出得不到保障。</w:t>
      </w:r>
    </w:p>
    <w:p>
      <w:pPr>
        <w:adjustRightInd w:val="0"/>
        <w:snapToGrid w:val="0"/>
        <w:spacing w:line="560" w:lineRule="exact"/>
        <w:ind w:firstLine="624" w:firstLineChars="200"/>
        <w:rPr>
          <w:rFonts w:hint="eastAsia" w:ascii="仿宋" w:hAnsi="仿宋" w:eastAsia="仿宋"/>
          <w:color w:val="000000" w:themeColor="text1"/>
          <w:spacing w:val="-4"/>
          <w:sz w:val="32"/>
          <w:szCs w:val="32"/>
        </w:rPr>
      </w:pPr>
      <w:r>
        <w:rPr>
          <w:rFonts w:hint="eastAsia" w:ascii="仿宋" w:hAnsi="仿宋" w:eastAsia="仿宋"/>
          <w:color w:val="000000" w:themeColor="text1"/>
          <w:spacing w:val="-4"/>
          <w:sz w:val="32"/>
          <w:szCs w:val="32"/>
          <w:lang w:val="en-US" w:eastAsia="zh-CN"/>
        </w:rPr>
        <w:t>3、</w:t>
      </w:r>
      <w:r>
        <w:rPr>
          <w:rFonts w:hint="eastAsia" w:ascii="仿宋" w:hAnsi="仿宋" w:eastAsia="仿宋"/>
          <w:color w:val="000000" w:themeColor="text1"/>
          <w:spacing w:val="-4"/>
          <w:sz w:val="32"/>
          <w:szCs w:val="32"/>
        </w:rPr>
        <w:t>建议</w:t>
      </w:r>
    </w:p>
    <w:p>
      <w:pPr>
        <w:adjustRightInd w:val="0"/>
        <w:snapToGrid w:val="0"/>
        <w:spacing w:line="560" w:lineRule="exact"/>
        <w:ind w:firstLine="624" w:firstLineChars="200"/>
        <w:rPr>
          <w:rFonts w:hint="eastAsia"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建议县财政深入调研对公安的硬性支付、刚性支出、强性支出，编制科学、合理，精准预算，确保保障到位。使我局更好履职，为共建“平安塔县”服务。</w:t>
      </w:r>
      <w:bookmarkStart w:id="0" w:name="_GoBack"/>
      <w:bookmarkEnd w:id="0"/>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本次评价通过文件研读、实地调研、数据分析等方式，全面了解2018年政法转移支付资金办案（业务）经费项目资金的使用效率和效果，项目管理过程是否规范，是否完成了预期绩效目标等。同时，通过开展自我评价</w:t>
      </w:r>
      <w:r>
        <w:rPr>
          <w:rFonts w:hint="eastAsia" w:ascii="仿宋" w:hAnsi="仿宋" w:eastAsia="仿宋"/>
          <w:color w:val="000000" w:themeColor="text1"/>
          <w:spacing w:val="-4"/>
          <w:sz w:val="32"/>
          <w:szCs w:val="32"/>
          <w:lang w:val="en-US" w:eastAsia="zh-CN"/>
        </w:rPr>
        <w:t>归纳</w:t>
      </w:r>
      <w:r>
        <w:rPr>
          <w:rFonts w:hint="eastAsia" w:ascii="仿宋" w:hAnsi="仿宋" w:eastAsia="仿宋"/>
          <w:color w:val="000000" w:themeColor="text1"/>
          <w:spacing w:val="-4"/>
          <w:sz w:val="32"/>
          <w:szCs w:val="32"/>
        </w:rPr>
        <w:t>总结经验和教训，为</w:t>
      </w:r>
      <w:r>
        <w:rPr>
          <w:rFonts w:hint="eastAsia" w:ascii="仿宋" w:hAnsi="仿宋" w:eastAsia="仿宋"/>
          <w:color w:val="000000" w:themeColor="text1"/>
          <w:spacing w:val="-4"/>
          <w:sz w:val="32"/>
          <w:szCs w:val="32"/>
          <w:lang w:val="en-US" w:eastAsia="zh-CN"/>
        </w:rPr>
        <w:t>政法转移支付资金办案（业务）经费</w:t>
      </w:r>
      <w:r>
        <w:rPr>
          <w:rFonts w:hint="eastAsia" w:ascii="仿宋" w:hAnsi="仿宋" w:eastAsia="仿宋"/>
          <w:color w:val="000000" w:themeColor="text1"/>
          <w:spacing w:val="-4"/>
          <w:sz w:val="32"/>
          <w:szCs w:val="32"/>
        </w:rPr>
        <w:t>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rPr>
          <w:rStyle w:val="18"/>
          <w:rFonts w:hint="eastAsia" w:ascii="仿宋" w:hAnsi="仿宋" w:eastAsia="仿宋"/>
          <w:color w:val="FF0000"/>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F1A98"/>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4BFB"/>
    <w:rsid w:val="00A26421"/>
    <w:rsid w:val="00A4293B"/>
    <w:rsid w:val="00A83BD5"/>
    <w:rsid w:val="00A977DF"/>
    <w:rsid w:val="00AE6A23"/>
    <w:rsid w:val="00B06CA5"/>
    <w:rsid w:val="00B13FCF"/>
    <w:rsid w:val="00B41F61"/>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AB56CE2"/>
    <w:rsid w:val="0EB107EC"/>
    <w:rsid w:val="15894BA4"/>
    <w:rsid w:val="21454B50"/>
    <w:rsid w:val="2517073C"/>
    <w:rsid w:val="256D0599"/>
    <w:rsid w:val="275833BE"/>
    <w:rsid w:val="30B528AE"/>
    <w:rsid w:val="397F4FE8"/>
    <w:rsid w:val="481C0BD3"/>
    <w:rsid w:val="48ED6745"/>
    <w:rsid w:val="4EFD6A38"/>
    <w:rsid w:val="5A7F02EA"/>
    <w:rsid w:val="5CCA1AAE"/>
    <w:rsid w:val="6E3E554C"/>
    <w:rsid w:val="738D1DB2"/>
    <w:rsid w:val="78465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7"/>
    <w:uiPriority w:val="0"/>
    <w:rPr>
      <w:rFonts w:hint="default" w:ascii="Times New Roman" w:hAnsi="Times New Roman" w:cs="Times New Roman"/>
      <w:color w:val="000000"/>
      <w:sz w:val="24"/>
      <w:szCs w:val="24"/>
      <w:u w:val="none"/>
    </w:rPr>
  </w:style>
  <w:style w:type="character" w:customStyle="1" w:styleId="50">
    <w:name w:val="font01"/>
    <w:basedOn w:val="17"/>
    <w:uiPriority w:val="0"/>
    <w:rPr>
      <w:rFonts w:hint="eastAsia" w:ascii="宋体" w:hAnsi="宋体" w:eastAsia="宋体" w:cs="宋体"/>
      <w:color w:val="000000"/>
      <w:sz w:val="24"/>
      <w:szCs w:val="24"/>
      <w:u w:val="none"/>
    </w:rPr>
  </w:style>
  <w:style w:type="character" w:customStyle="1" w:styleId="51">
    <w:name w:val="font11"/>
    <w:basedOn w:val="17"/>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TotalTime>
  <ScaleCrop>false</ScaleCrop>
  <LinksUpToDate>false</LinksUpToDate>
  <CharactersWithSpaces>1916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2018-12-17T10:15:00Z</cp:lastPrinted>
  <dcterms:modified xsi:type="dcterms:W3CDTF">2019-09-22T10:53:08Z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